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2</w:t>
      </w:r>
      <w:r>
        <w:rPr>
          <w:rFonts w:hint="eastAsia" w:eastAsia="方正小标宋简体"/>
          <w:sz w:val="44"/>
          <w:szCs w:val="44"/>
        </w:rPr>
        <w:t>年</w:t>
      </w:r>
      <w:r>
        <w:rPr>
          <w:rFonts w:hint="eastAsia" w:eastAsia="方正小标宋简体"/>
          <w:sz w:val="44"/>
          <w:szCs w:val="44"/>
          <w:lang w:val="en-US" w:eastAsia="zh-CN"/>
        </w:rPr>
        <w:t>南塔街道</w:t>
      </w:r>
      <w:r>
        <w:rPr>
          <w:rFonts w:hint="eastAsia" w:eastAsia="方正小标宋简体"/>
          <w:sz w:val="44"/>
          <w:szCs w:val="44"/>
        </w:rPr>
        <w:t>项目支出绩效自评报告</w:t>
      </w:r>
    </w:p>
    <w:p>
      <w:pPr>
        <w:spacing w:line="580" w:lineRule="exact"/>
        <w:jc w:val="center"/>
        <w:rPr>
          <w:rFonts w:hint="eastAsia"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南塔街道办事处老旧无物业小区排污基础设施改造项目</w:t>
      </w:r>
      <w:r>
        <w:rPr>
          <w:rFonts w:hint="eastAsia" w:eastAsia="方正楷体简体"/>
          <w:b/>
          <w:sz w:val="32"/>
          <w:szCs w:val="32"/>
          <w:lang w:eastAsia="zh-CN"/>
        </w:rPr>
        <w:t>建设资金</w:t>
      </w:r>
      <w:r>
        <w:rPr>
          <w:rFonts w:hint="eastAsia" w:eastAsia="方正楷体简体"/>
          <w:b/>
          <w:sz w:val="32"/>
          <w:szCs w:val="32"/>
        </w:rPr>
        <w:t>）</w:t>
      </w:r>
    </w:p>
    <w:p>
      <w:p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为充分发放财政资金的作用，按照乐至县财政局《关于开展2021年度财政支出绩效自评工作的通知》（乐财监督绩效【2022】5号）通知要求，我街道高度重视，认真组织开展南塔街道办事处老旧无物业小区排污基础设施改造项目支出绩效自评，现将自评工作总结如下。</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lang w:val="en-US" w:eastAsia="zh-CN"/>
        </w:rPr>
      </w:pPr>
      <w:r>
        <w:rPr>
          <w:rFonts w:eastAsia="方正仿宋简体"/>
          <w:b/>
          <w:sz w:val="32"/>
          <w:szCs w:val="32"/>
        </w:rPr>
        <w:t>1.</w:t>
      </w:r>
      <w:r>
        <w:rPr>
          <w:rFonts w:hint="eastAsia" w:eastAsia="方正仿宋简体"/>
          <w:sz w:val="32"/>
          <w:szCs w:val="32"/>
        </w:rPr>
        <w:t>立项背景及目的</w:t>
      </w:r>
      <w:r>
        <w:rPr>
          <w:rFonts w:hint="eastAsia" w:eastAsia="方正仿宋简体"/>
          <w:sz w:val="32"/>
          <w:szCs w:val="32"/>
          <w:lang w:eastAsia="zh-CN"/>
        </w:rPr>
        <w:t>。</w:t>
      </w:r>
      <w:r>
        <w:rPr>
          <w:rFonts w:hint="eastAsia" w:eastAsia="方正仿宋简体"/>
          <w:sz w:val="32"/>
          <w:szCs w:val="32"/>
          <w:lang w:val="en-US" w:eastAsia="zh-CN"/>
        </w:rPr>
        <w:t>推进老旧无物业小区水沟、化粪池、排污管道的疏通、修缮及直排改道等整治工作，解决老旧无物业小区脏、乱、差问题，为广大群众营造一个良好的生活环境，</w:t>
      </w:r>
      <w:r>
        <w:rPr>
          <w:rFonts w:hint="eastAsia" w:eastAsia="方正仿宋简体"/>
          <w:sz w:val="32"/>
          <w:szCs w:val="32"/>
          <w:lang w:val="en-US" w:eastAsia="zh-CN"/>
        </w:rPr>
        <w:t>是南塔街道实现为民办实事的重要内容，切实增强群众获得感和幸福感。同时改善周边环境，提升城市文明形象，为创建全国文明城市助力，</w:t>
      </w:r>
      <w:r>
        <w:rPr>
          <w:rFonts w:hint="eastAsia" w:ascii="Times New Roman" w:hAnsi="Times New Roman" w:eastAsia="方正仿宋简体" w:cs="Times New Roman"/>
          <w:sz w:val="32"/>
          <w:szCs w:val="32"/>
          <w:lang w:val="en-US" w:eastAsia="zh-CN"/>
        </w:rPr>
        <w:t>符合四川省委、省政府关于加强基层治理的发展规划，具有现实需求，具有明显的社会和可持续性效益等必要性。</w:t>
      </w:r>
    </w:p>
    <w:p>
      <w:pPr>
        <w:spacing w:line="580" w:lineRule="exact"/>
        <w:ind w:firstLine="643" w:firstLineChars="200"/>
        <w:rPr>
          <w:rFonts w:hint="eastAsia" w:eastAsia="方正仿宋简体"/>
          <w:sz w:val="28"/>
          <w:szCs w:val="28"/>
          <w:lang w:eastAsia="zh-CN"/>
        </w:rPr>
      </w:pPr>
      <w:r>
        <w:rPr>
          <w:rFonts w:eastAsia="方正仿宋简体"/>
          <w:b/>
          <w:sz w:val="32"/>
          <w:szCs w:val="32"/>
        </w:rPr>
        <w:t>2.</w:t>
      </w:r>
      <w:r>
        <w:rPr>
          <w:rFonts w:hint="eastAsia" w:eastAsia="方正仿宋简体"/>
          <w:sz w:val="32"/>
          <w:szCs w:val="32"/>
        </w:rPr>
        <w:t>预算资金来源及使用情况</w:t>
      </w:r>
      <w:r>
        <w:rPr>
          <w:rFonts w:hint="eastAsia" w:eastAsia="方正仿宋简体"/>
          <w:sz w:val="32"/>
          <w:szCs w:val="32"/>
          <w:lang w:eastAsia="zh-CN"/>
        </w:rPr>
        <w:t>。</w:t>
      </w:r>
      <w:r>
        <w:rPr>
          <w:rFonts w:hint="eastAsia" w:eastAsia="方正仿宋简体"/>
          <w:sz w:val="28"/>
          <w:szCs w:val="28"/>
          <w:lang w:val="en-US" w:eastAsia="zh-CN"/>
        </w:rPr>
        <w:t>项目全年预算数5.90万元，执行数为5.90万元，用于南塔街道老旧无物业小区排污基础设施的改造，完成预算的100%。</w:t>
      </w:r>
    </w:p>
    <w:p>
      <w:pPr>
        <w:spacing w:line="580" w:lineRule="exact"/>
        <w:ind w:firstLine="643" w:firstLineChars="200"/>
        <w:rPr>
          <w:rFonts w:hint="eastAsia" w:eastAsia="方正仿宋简体"/>
          <w:sz w:val="28"/>
          <w:szCs w:val="28"/>
          <w:lang w:val="en-US" w:eastAsia="zh-CN"/>
        </w:rPr>
      </w:pPr>
      <w:r>
        <w:rPr>
          <w:rFonts w:hint="eastAsia" w:eastAsia="方正仿宋简体"/>
          <w:b/>
          <w:bCs/>
          <w:sz w:val="32"/>
          <w:szCs w:val="32"/>
        </w:rPr>
        <w:t>3</w:t>
      </w:r>
      <w:r>
        <w:rPr>
          <w:rFonts w:hint="eastAsia" w:eastAsia="方正仿宋简体"/>
          <w:sz w:val="32"/>
          <w:szCs w:val="32"/>
        </w:rPr>
        <w:t>.</w:t>
      </w:r>
      <w:r>
        <w:rPr>
          <w:rFonts w:hint="eastAsia" w:eastAsia="方正仿宋简体"/>
          <w:sz w:val="32"/>
          <w:szCs w:val="32"/>
          <w:lang w:val="en-US" w:eastAsia="zh-CN"/>
        </w:rPr>
        <w:t>组织</w:t>
      </w:r>
      <w:r>
        <w:rPr>
          <w:rFonts w:hint="eastAsia" w:eastAsia="方正仿宋简体"/>
          <w:sz w:val="32"/>
          <w:szCs w:val="32"/>
        </w:rPr>
        <w:t>实施情况</w:t>
      </w:r>
      <w:r>
        <w:rPr>
          <w:rFonts w:hint="eastAsia" w:eastAsia="方正仿宋简体"/>
          <w:sz w:val="32"/>
          <w:szCs w:val="32"/>
          <w:lang w:eastAsia="zh-CN"/>
        </w:rPr>
        <w:t>。</w:t>
      </w:r>
      <w:r>
        <w:rPr>
          <w:rFonts w:hint="eastAsia" w:eastAsia="方正仿宋简体"/>
          <w:sz w:val="28"/>
          <w:szCs w:val="28"/>
          <w:lang w:val="en-US" w:eastAsia="zh-CN"/>
        </w:rPr>
        <w:t>通过招标程序选择施工单位，按照合同要求进行施工，工程完工后组织验收，合格后支付相应工程款项。</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560" w:firstLineChars="200"/>
        <w:rPr>
          <w:rFonts w:eastAsia="方正仿宋简体"/>
          <w:sz w:val="32"/>
          <w:szCs w:val="32"/>
        </w:rPr>
      </w:pPr>
      <w:r>
        <w:rPr>
          <w:rFonts w:hint="eastAsia" w:eastAsia="方正仿宋简体"/>
          <w:sz w:val="28"/>
          <w:szCs w:val="28"/>
          <w:lang w:val="en-US" w:eastAsia="zh-CN"/>
        </w:rPr>
        <w:t>绩效总体目标是保障南塔街道老旧无物业小区排污基础设施改造顺利实施，改善周边环境，提高群众生活环境质量，增强群众满意度和幸福感，为创建全国文明城市打好基础。数量指标：完成老旧无物业小区突出排污问题整改13个，涉及6个社区；质量指标：按要求完成整改项目，且验收合格；时效指标：2021年8月底前全部完成整改</w:t>
      </w:r>
      <w:r>
        <w:rPr>
          <w:rFonts w:hint="eastAsia" w:eastAsia="方正仿宋简体"/>
          <w:sz w:val="28"/>
          <w:szCs w:val="28"/>
          <w:lang w:val="en-US" w:eastAsia="zh-CN"/>
        </w:rPr>
        <w:t>；成本指标：资金投入小于等于5.90万元；社会效益指标：提高群众生活质量，改善周边环境，提升城市文明形象，增强群众满意度和幸福感；满意度指标：受益群众满意度大于90%。</w:t>
      </w:r>
    </w:p>
    <w:p>
      <w:pPr>
        <w:spacing w:line="580" w:lineRule="exact"/>
        <w:ind w:firstLine="640" w:firstLineChars="200"/>
        <w:rPr>
          <w:rFonts w:eastAsia="方正仿宋简体"/>
          <w:sz w:val="32"/>
          <w:szCs w:val="32"/>
        </w:rPr>
      </w:pP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街道党工委、街道办高度重视绩效自评工作，及时组织相关人员开展自评工作，对项目完成数量、质量、时效、成本等指标开展自评，并深入开展分析。</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eastAsia="方正仿宋简体"/>
          <w:sz w:val="28"/>
          <w:szCs w:val="28"/>
          <w:lang w:val="en-US" w:eastAsia="zh-CN"/>
        </w:rPr>
        <w:t>严格按照投入、过程、产出、效果等指标评分，自评等级为优。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hint="eastAsia" w:ascii="Times New Roman" w:hAnsi="Times New Roman" w:eastAsia="方正仿宋简体" w:cs="Times New Roman"/>
          <w:kern w:val="2"/>
          <w:sz w:val="28"/>
          <w:szCs w:val="28"/>
          <w:lang w:val="en-US" w:eastAsia="zh-CN" w:bidi="ar-SA"/>
        </w:rPr>
      </w:pP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项目资金到位情况分析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年度下达</w:t>
      </w:r>
      <w:r>
        <w:rPr>
          <w:rFonts w:hint="eastAsia" w:eastAsia="方正仿宋简体" w:cs="Times New Roman"/>
          <w:kern w:val="2"/>
          <w:sz w:val="28"/>
          <w:szCs w:val="28"/>
          <w:lang w:val="en-US" w:eastAsia="zh-CN" w:bidi="ar-SA"/>
        </w:rPr>
        <w:t>我街道办老旧无物业小区排污基础设施改造</w:t>
      </w:r>
      <w:r>
        <w:rPr>
          <w:rFonts w:hint="eastAsia" w:ascii="Times New Roman" w:hAnsi="Times New Roman" w:eastAsia="方正仿宋简体" w:cs="Times New Roman"/>
          <w:kern w:val="2"/>
          <w:sz w:val="28"/>
          <w:szCs w:val="28"/>
          <w:lang w:val="en-US" w:eastAsia="zh-CN" w:bidi="ar-SA"/>
        </w:rPr>
        <w:t>资金</w:t>
      </w:r>
      <w:r>
        <w:rPr>
          <w:rFonts w:hint="eastAsia" w:eastAsia="方正仿宋简体" w:cs="Times New Roman"/>
          <w:kern w:val="2"/>
          <w:sz w:val="28"/>
          <w:szCs w:val="28"/>
          <w:lang w:val="en-US" w:eastAsia="zh-CN" w:bidi="ar-SA"/>
        </w:rPr>
        <w:t>5.90万</w:t>
      </w:r>
      <w:r>
        <w:rPr>
          <w:rFonts w:hint="eastAsia" w:ascii="Times New Roman" w:hAnsi="Times New Roman" w:eastAsia="方正仿宋简体" w:cs="Times New Roman"/>
          <w:kern w:val="2"/>
          <w:sz w:val="28"/>
          <w:szCs w:val="28"/>
          <w:lang w:val="en-US" w:eastAsia="zh-CN" w:bidi="ar-SA"/>
        </w:rPr>
        <w:t>元</w:t>
      </w:r>
      <w:r>
        <w:rPr>
          <w:rFonts w:hint="eastAsia" w:eastAsia="方正仿宋简体" w:cs="Times New Roman"/>
          <w:kern w:val="2"/>
          <w:sz w:val="28"/>
          <w:szCs w:val="28"/>
          <w:lang w:val="en-US" w:eastAsia="zh-CN" w:bidi="ar-SA"/>
        </w:rPr>
        <w:t>，资金</w:t>
      </w:r>
      <w:r>
        <w:rPr>
          <w:rFonts w:hint="eastAsia" w:ascii="Times New Roman" w:hAnsi="Times New Roman" w:eastAsia="方正仿宋简体" w:cs="Times New Roman"/>
          <w:kern w:val="2"/>
          <w:sz w:val="28"/>
          <w:szCs w:val="28"/>
          <w:lang w:val="en-US" w:eastAsia="zh-CN" w:bidi="ar-SA"/>
        </w:rPr>
        <w:t>到位率100%。2、项目资金执行情况分析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项目资金按要求</w:t>
      </w:r>
      <w:r>
        <w:rPr>
          <w:rFonts w:hint="eastAsia" w:eastAsia="方正仿宋简体" w:cs="Times New Roman"/>
          <w:kern w:val="2"/>
          <w:sz w:val="28"/>
          <w:szCs w:val="28"/>
          <w:lang w:val="en-US" w:eastAsia="zh-CN" w:bidi="ar-SA"/>
        </w:rPr>
        <w:t>用于南塔街道老旧无物业小区排污基础设施改造</w:t>
      </w:r>
      <w:r>
        <w:rPr>
          <w:rFonts w:hint="eastAsia" w:ascii="Times New Roman" w:hAnsi="Times New Roman" w:eastAsia="方正仿宋简体" w:cs="Times New Roman"/>
          <w:kern w:val="2"/>
          <w:sz w:val="28"/>
          <w:szCs w:val="28"/>
          <w:lang w:val="en-US" w:eastAsia="zh-CN" w:bidi="ar-SA"/>
        </w:rPr>
        <w:t>，资金执行率为100%</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3、项目资金管理情况分析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项目资金无挪用、截留情况。统一使用管理，规范了资金来源、支出范围、使用管理、监督管理，</w:t>
      </w:r>
      <w:r>
        <w:rPr>
          <w:rFonts w:hint="eastAsia" w:eastAsia="方正仿宋简体" w:cs="Times New Roman"/>
          <w:kern w:val="2"/>
          <w:sz w:val="28"/>
          <w:szCs w:val="28"/>
          <w:lang w:val="en-US" w:eastAsia="zh-CN" w:bidi="ar-SA"/>
        </w:rPr>
        <w:t>目前老旧无物业小区排污基础设施改造全部完成，达到了预期效果</w:t>
      </w:r>
      <w:r>
        <w:rPr>
          <w:rFonts w:hint="eastAsia" w:ascii="Times New Roman" w:hAnsi="Times New Roman" w:eastAsia="方正仿宋简体" w:cs="Times New Roman"/>
          <w:kern w:val="2"/>
          <w:sz w:val="28"/>
          <w:szCs w:val="28"/>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eastAsia="方正黑体简体"/>
          <w:sz w:val="32"/>
          <w:szCs w:val="32"/>
        </w:rPr>
      </w:pPr>
      <w:r>
        <w:rPr>
          <w:rFonts w:hint="eastAsia" w:eastAsia="方正黑体简体"/>
          <w:sz w:val="32"/>
          <w:szCs w:val="32"/>
        </w:rPr>
        <w:t>五、主要经验及做法、存在的问题和建议</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完善对补助建设项目形成资产的管护。建立健全各项运行</w:t>
      </w:r>
      <w:r>
        <w:rPr>
          <w:rFonts w:hint="eastAsia" w:eastAsia="方正仿宋简体" w:cs="Times New Roman"/>
          <w:kern w:val="2"/>
          <w:sz w:val="28"/>
          <w:szCs w:val="28"/>
          <w:lang w:val="en-US" w:eastAsia="zh-CN" w:bidi="ar-SA"/>
        </w:rPr>
        <w:t>管护</w:t>
      </w:r>
      <w:r>
        <w:rPr>
          <w:rFonts w:hint="eastAsia" w:ascii="Times New Roman" w:hAnsi="Times New Roman" w:eastAsia="方正仿宋简体" w:cs="Times New Roman"/>
          <w:kern w:val="2"/>
          <w:sz w:val="28"/>
          <w:szCs w:val="28"/>
          <w:lang w:val="en-US" w:eastAsia="zh-CN" w:bidi="ar-SA"/>
        </w:rPr>
        <w:t>制度，制定管护措施、落实管护责任，保证项目正常运转，发挥长期效益。</w:t>
      </w:r>
    </w:p>
    <w:p>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附件：1.202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w:t>
      </w:r>
      <w:r>
        <w:rPr>
          <w:rFonts w:hint="eastAsia" w:eastAsia="方正仿宋简体" w:cs="Times New Roman"/>
          <w:kern w:val="2"/>
          <w:sz w:val="28"/>
          <w:szCs w:val="28"/>
          <w:lang w:val="en-US" w:eastAsia="zh-CN" w:bidi="ar-SA"/>
        </w:rPr>
        <w:t>南塔街道</w:t>
      </w:r>
      <w:r>
        <w:rPr>
          <w:rFonts w:hint="eastAsia" w:ascii="Times New Roman" w:hAnsi="Times New Roman" w:eastAsia="方正仿宋简体" w:cs="Times New Roman"/>
          <w:kern w:val="2"/>
          <w:sz w:val="28"/>
          <w:szCs w:val="28"/>
          <w:lang w:val="en-US" w:eastAsia="zh-CN" w:bidi="ar-SA"/>
        </w:rPr>
        <w:t>项目支出绩效自评计分表</w:t>
      </w:r>
    </w:p>
    <w:p>
      <w:pPr>
        <w:spacing w:line="580" w:lineRule="exact"/>
        <w:ind w:firstLine="1120" w:firstLineChars="400"/>
        <w:rPr>
          <w:rFonts w:ascii="宋体" w:hAnsi="宋体" w:eastAsia="方正小标宋简体"/>
          <w:bCs/>
          <w:kern w:val="0"/>
          <w:sz w:val="40"/>
          <w:szCs w:val="40"/>
        </w:rPr>
        <w:sectPr>
          <w:pgSz w:w="11907" w:h="16840"/>
          <w:pgMar w:top="2098" w:right="1474" w:bottom="1928" w:left="1588" w:header="851" w:footer="992" w:gutter="0"/>
          <w:cols w:space="425" w:num="1"/>
          <w:docGrid w:type="lines" w:linePitch="312" w:charSpace="0"/>
        </w:sectPr>
      </w:pPr>
      <w:r>
        <w:rPr>
          <w:rFonts w:hint="eastAsia" w:ascii="Times New Roman" w:hAnsi="Times New Roman" w:eastAsia="方正仿宋简体" w:cs="Times New Roman"/>
          <w:kern w:val="2"/>
          <w:sz w:val="28"/>
          <w:szCs w:val="28"/>
          <w:lang w:val="en-US" w:eastAsia="zh-CN" w:bidi="ar-SA"/>
        </w:rPr>
        <w:t>2.202</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年度</w:t>
      </w:r>
      <w:r>
        <w:rPr>
          <w:rFonts w:hint="eastAsia" w:eastAsia="方正仿宋简体" w:cs="Times New Roman"/>
          <w:kern w:val="2"/>
          <w:sz w:val="28"/>
          <w:szCs w:val="28"/>
          <w:lang w:val="en-US" w:eastAsia="zh-CN" w:bidi="ar-SA"/>
        </w:rPr>
        <w:t>南塔街道</w:t>
      </w:r>
      <w:r>
        <w:rPr>
          <w:rFonts w:hint="eastAsia" w:ascii="Times New Roman" w:hAnsi="Times New Roman" w:eastAsia="方正仿宋简体" w:cs="Times New Roman"/>
          <w:kern w:val="2"/>
          <w:sz w:val="28"/>
          <w:szCs w:val="28"/>
          <w:lang w:val="en-US" w:eastAsia="zh-CN" w:bidi="ar-SA"/>
        </w:rPr>
        <w:t>项目支出绩效目标完成情况表</w:t>
      </w: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w:t>
      </w:r>
      <w:r>
        <w:rPr>
          <w:rFonts w:hint="eastAsia" w:eastAsia="方正小标宋简体"/>
          <w:bCs/>
          <w:kern w:val="0"/>
          <w:sz w:val="44"/>
          <w:szCs w:val="44"/>
          <w:lang w:val="en-US" w:eastAsia="zh-CN"/>
        </w:rPr>
        <w:t>南塔街道</w:t>
      </w:r>
      <w:r>
        <w:rPr>
          <w:rFonts w:hint="eastAsia" w:eastAsia="方正小标宋简体"/>
          <w:bCs/>
          <w:kern w:val="0"/>
          <w:sz w:val="44"/>
          <w:szCs w:val="44"/>
        </w:rPr>
        <w:t>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lang w:val="en-US" w:eastAsia="zh-CN"/>
        </w:rPr>
        <w:t>南塔街道办事处老旧无物业小区排污基础设施改造项目</w:t>
      </w:r>
      <w:r>
        <w:rPr>
          <w:rFonts w:hint="eastAsia" w:eastAsia="方正楷体简体"/>
          <w:b/>
          <w:sz w:val="32"/>
          <w:szCs w:val="32"/>
          <w:lang w:eastAsia="zh-CN"/>
        </w:rPr>
        <w:t>建设资金</w:t>
      </w:r>
      <w:r>
        <w:rPr>
          <w:rFonts w:hint="eastAsia" w:eastAsia="方正楷体简体"/>
          <w:b/>
          <w:bCs/>
          <w:kern w:val="0"/>
          <w:sz w:val="32"/>
          <w:szCs w:val="32"/>
        </w:rPr>
        <w:t>）</w:t>
      </w:r>
    </w:p>
    <w:p>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乐至县人民政府南塔街道办事处</w:t>
      </w:r>
      <w:r>
        <w:rPr>
          <w:bCs/>
          <w:kern w:val="0"/>
          <w:sz w:val="24"/>
        </w:rPr>
        <w:t xml:space="preserve"> </w:t>
      </w:r>
      <w:r>
        <w:rPr>
          <w:rFonts w:hint="eastAsia"/>
          <w:bCs/>
          <w:kern w:val="0"/>
          <w:sz w:val="24"/>
        </w:rPr>
        <w:t>预算单位编码：</w:t>
      </w:r>
      <w:r>
        <w:rPr>
          <w:rFonts w:hint="eastAsia"/>
          <w:color w:val="000000"/>
          <w:kern w:val="0"/>
          <w:szCs w:val="21"/>
          <w:lang w:val="en-US" w:eastAsia="zh-CN"/>
        </w:rPr>
        <w:t>301001</w:t>
      </w:r>
      <w:r>
        <w:rPr>
          <w:rFonts w:hint="eastAsia"/>
          <w:bCs/>
          <w:kern w:val="0"/>
          <w:sz w:val="24"/>
        </w:rPr>
        <w:t>自评等级：</w:t>
      </w:r>
      <w:r>
        <w:rPr>
          <w:rFonts w:hint="eastAsia"/>
          <w:bCs/>
          <w:kern w:val="0"/>
          <w:sz w:val="24"/>
          <w:lang w:val="en-US" w:eastAsia="zh-CN"/>
        </w:rPr>
        <w:t>优</w:t>
      </w:r>
    </w:p>
    <w:tbl>
      <w:tblPr>
        <w:tblStyle w:val="4"/>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78"/>
        <w:gridCol w:w="667"/>
        <w:gridCol w:w="815"/>
        <w:gridCol w:w="1664"/>
        <w:gridCol w:w="3510"/>
        <w:gridCol w:w="672"/>
        <w:gridCol w:w="11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按照程序</w:t>
            </w:r>
          </w:p>
          <w:p>
            <w:pPr>
              <w:widowControl/>
              <w:spacing w:line="240" w:lineRule="exact"/>
              <w:jc w:val="center"/>
              <w:rPr>
                <w:rFonts w:hint="eastAsia"/>
                <w:kern w:val="0"/>
                <w:szCs w:val="21"/>
                <w:lang w:val="en-US" w:eastAsia="zh-CN"/>
              </w:rPr>
            </w:pPr>
            <w:r>
              <w:rPr>
                <w:rFonts w:hint="eastAsia"/>
                <w:kern w:val="0"/>
                <w:szCs w:val="21"/>
                <w:lang w:val="en-US" w:eastAsia="zh-CN"/>
              </w:rPr>
              <w:t>完成立项</w:t>
            </w:r>
          </w:p>
          <w:p>
            <w:pPr>
              <w:widowControl/>
              <w:spacing w:line="240" w:lineRule="exact"/>
              <w:jc w:val="center"/>
              <w:rPr>
                <w:rFonts w:hint="default"/>
                <w:kern w:val="0"/>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开展事前</w:t>
            </w:r>
          </w:p>
          <w:p>
            <w:pPr>
              <w:widowControl/>
              <w:spacing w:line="240" w:lineRule="exact"/>
              <w:jc w:val="center"/>
              <w:rPr>
                <w:rFonts w:hint="default"/>
                <w:kern w:val="0"/>
                <w:szCs w:val="21"/>
                <w:lang w:val="en-US" w:eastAsia="zh-CN"/>
              </w:rPr>
            </w:pPr>
            <w:r>
              <w:rPr>
                <w:rFonts w:hint="eastAsia"/>
                <w:kern w:val="0"/>
                <w:szCs w:val="21"/>
                <w:lang w:val="en-US" w:eastAsia="zh-CN"/>
              </w:rPr>
              <w:t>绩效评估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绩效指标</w:t>
            </w:r>
          </w:p>
          <w:p>
            <w:pPr>
              <w:widowControl/>
              <w:spacing w:line="240" w:lineRule="exact"/>
              <w:jc w:val="center"/>
              <w:rPr>
                <w:rFonts w:hint="default" w:eastAsia="宋体"/>
                <w:kern w:val="0"/>
                <w:szCs w:val="21"/>
                <w:lang w:val="en-US" w:eastAsia="zh-CN"/>
              </w:rPr>
            </w:pPr>
            <w:r>
              <w:rPr>
                <w:rFonts w:hint="eastAsia"/>
                <w:kern w:val="0"/>
                <w:szCs w:val="21"/>
                <w:lang w:val="en-US" w:eastAsia="zh-CN"/>
              </w:rPr>
              <w:t>明确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财政资金</w:t>
            </w:r>
          </w:p>
          <w:p>
            <w:pPr>
              <w:widowControl/>
              <w:spacing w:line="240" w:lineRule="exact"/>
              <w:jc w:val="center"/>
              <w:rPr>
                <w:rFonts w:hint="eastAsia"/>
                <w:kern w:val="0"/>
                <w:szCs w:val="21"/>
                <w:lang w:val="en-US" w:eastAsia="zh-CN"/>
              </w:rPr>
            </w:pPr>
            <w:r>
              <w:rPr>
                <w:rFonts w:hint="eastAsia"/>
                <w:kern w:val="0"/>
                <w:szCs w:val="21"/>
                <w:lang w:val="en-US" w:eastAsia="zh-CN"/>
              </w:rPr>
              <w:t>到账后按</w:t>
            </w:r>
          </w:p>
          <w:p>
            <w:pPr>
              <w:widowControl/>
              <w:spacing w:line="240" w:lineRule="exact"/>
              <w:jc w:val="center"/>
              <w:rPr>
                <w:rFonts w:hint="eastAsia"/>
                <w:kern w:val="0"/>
                <w:szCs w:val="21"/>
                <w:lang w:val="en-US" w:eastAsia="zh-CN"/>
              </w:rPr>
            </w:pPr>
            <w:r>
              <w:rPr>
                <w:rFonts w:hint="eastAsia"/>
                <w:kern w:val="0"/>
                <w:szCs w:val="21"/>
                <w:lang w:val="en-US" w:eastAsia="zh-CN"/>
              </w:rPr>
              <w:t>照合同约</w:t>
            </w:r>
          </w:p>
          <w:p>
            <w:pPr>
              <w:widowControl/>
              <w:spacing w:line="240" w:lineRule="exact"/>
              <w:jc w:val="center"/>
              <w:rPr>
                <w:rFonts w:hint="eastAsia"/>
                <w:kern w:val="0"/>
                <w:szCs w:val="21"/>
                <w:lang w:val="en-US" w:eastAsia="zh-CN"/>
              </w:rPr>
            </w:pPr>
            <w:r>
              <w:rPr>
                <w:rFonts w:hint="eastAsia"/>
                <w:kern w:val="0"/>
                <w:szCs w:val="21"/>
                <w:lang w:val="en-US" w:eastAsia="zh-CN"/>
              </w:rPr>
              <w:t>定及时支</w:t>
            </w:r>
          </w:p>
          <w:p>
            <w:pPr>
              <w:widowControl/>
              <w:spacing w:line="240" w:lineRule="exact"/>
              <w:jc w:val="center"/>
              <w:rPr>
                <w:rFonts w:hint="default"/>
                <w:kern w:val="0"/>
                <w:szCs w:val="21"/>
                <w:lang w:val="en-US" w:eastAsia="zh-CN"/>
              </w:rPr>
            </w:pPr>
            <w:r>
              <w:rPr>
                <w:rFonts w:hint="eastAsia"/>
                <w:kern w:val="0"/>
                <w:szCs w:val="21"/>
                <w:lang w:val="en-US" w:eastAsia="zh-CN"/>
              </w:rPr>
              <w:t>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财政资金</w:t>
            </w:r>
          </w:p>
          <w:p>
            <w:pPr>
              <w:widowControl/>
              <w:spacing w:line="240" w:lineRule="exact"/>
              <w:jc w:val="center"/>
              <w:rPr>
                <w:rFonts w:hint="default"/>
                <w:kern w:val="0"/>
                <w:szCs w:val="21"/>
                <w:lang w:val="en-US" w:eastAsia="zh-CN"/>
              </w:rPr>
            </w:pPr>
            <w:r>
              <w:rPr>
                <w:rFonts w:hint="eastAsia"/>
                <w:kern w:val="0"/>
                <w:szCs w:val="21"/>
                <w:lang w:val="en-US" w:eastAsia="zh-CN"/>
              </w:rPr>
              <w:t>到位迟缓</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1"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center"/>
              <w:rPr>
                <w:rFonts w:hint="eastAsia"/>
                <w:kern w:val="0"/>
                <w:szCs w:val="21"/>
                <w:lang w:val="en-US" w:eastAsia="zh-CN"/>
              </w:rPr>
            </w:pPr>
            <w:r>
              <w:rPr>
                <w:rFonts w:hint="eastAsia"/>
                <w:kern w:val="0"/>
                <w:szCs w:val="21"/>
                <w:lang w:val="en-US" w:eastAsia="zh-CN"/>
              </w:rPr>
              <w:t>聘有质量</w:t>
            </w:r>
          </w:p>
          <w:p>
            <w:pPr>
              <w:widowControl/>
              <w:spacing w:line="260" w:lineRule="exact"/>
              <w:jc w:val="center"/>
              <w:rPr>
                <w:rFonts w:hint="default" w:eastAsia="宋体"/>
                <w:kern w:val="0"/>
                <w:szCs w:val="21"/>
                <w:lang w:val="en-US" w:eastAsia="zh-CN"/>
              </w:rPr>
            </w:pPr>
            <w:r>
              <w:rPr>
                <w:rFonts w:hint="eastAsia"/>
                <w:kern w:val="0"/>
                <w:szCs w:val="21"/>
                <w:lang w:val="en-US" w:eastAsia="zh-CN"/>
              </w:rPr>
              <w:t>监理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专款专用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7" w:type="pct"/>
            <w:noWrap/>
            <w:vAlign w:val="center"/>
          </w:tcPr>
          <w:p>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1"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center"/>
              <w:rPr>
                <w:rFonts w:hint="default" w:eastAsia="宋体"/>
                <w:kern w:val="0"/>
                <w:szCs w:val="21"/>
                <w:lang w:val="en-US" w:eastAsia="zh-CN"/>
              </w:rPr>
            </w:pPr>
            <w:r>
              <w:rPr>
                <w:rFonts w:hint="eastAsia"/>
                <w:kern w:val="0"/>
                <w:szCs w:val="21"/>
                <w:lang w:val="en-US" w:eastAsia="zh-CN"/>
              </w:rPr>
              <w:t>如期竣工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竣工验收</w:t>
            </w:r>
          </w:p>
          <w:p>
            <w:pPr>
              <w:widowControl/>
              <w:spacing w:line="240" w:lineRule="exact"/>
              <w:jc w:val="center"/>
              <w:rPr>
                <w:rFonts w:hint="default"/>
                <w:kern w:val="0"/>
                <w:szCs w:val="21"/>
                <w:lang w:val="en-US" w:eastAsia="zh-CN"/>
              </w:rPr>
            </w:pPr>
            <w:r>
              <w:rPr>
                <w:rFonts w:hint="eastAsia"/>
                <w:kern w:val="0"/>
                <w:szCs w:val="21"/>
                <w:lang w:val="en-US" w:eastAsia="zh-CN"/>
              </w:rPr>
              <w:t>合格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center"/>
              <w:rPr>
                <w:rFonts w:hint="eastAsia"/>
                <w:kern w:val="0"/>
                <w:szCs w:val="21"/>
                <w:lang w:val="en-US" w:eastAsia="zh-CN"/>
              </w:rPr>
            </w:pPr>
            <w:r>
              <w:rPr>
                <w:rFonts w:hint="eastAsia"/>
                <w:kern w:val="0"/>
                <w:szCs w:val="21"/>
                <w:lang w:val="en-US" w:eastAsia="zh-CN"/>
              </w:rPr>
              <w:t>控制在</w:t>
            </w:r>
          </w:p>
          <w:p>
            <w:pPr>
              <w:widowControl/>
              <w:spacing w:line="240" w:lineRule="exact"/>
              <w:jc w:val="center"/>
              <w:rPr>
                <w:rFonts w:hint="default"/>
                <w:kern w:val="0"/>
                <w:szCs w:val="21"/>
                <w:lang w:val="en-US" w:eastAsia="zh-CN"/>
              </w:rPr>
            </w:pPr>
            <w:r>
              <w:rPr>
                <w:rFonts w:hint="eastAsia"/>
                <w:kern w:val="0"/>
                <w:szCs w:val="21"/>
                <w:lang w:val="en-US" w:eastAsia="zh-CN"/>
              </w:rPr>
              <w:t>预算内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1"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7" w:type="pct"/>
            <w:noWrap/>
            <w:vAlign w:val="center"/>
          </w:tcPr>
          <w:p>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9</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7" w:type="pct"/>
            <w:tcBorders>
              <w:bottom w:val="single" w:color="auto" w:sz="12" w:space="0"/>
            </w:tcBorders>
            <w:noWrap/>
            <w:vAlign w:val="center"/>
          </w:tcPr>
          <w:p>
            <w:pPr>
              <w:keepNext w:val="0"/>
              <w:keepLines w:val="0"/>
              <w:widowControl/>
              <w:suppressLineNumbers w:val="0"/>
              <w:spacing w:before="0" w:beforeAutospacing="0" w:after="0" w:afterAutospacing="0" w:line="240" w:lineRule="exact"/>
              <w:ind w:left="0" w:leftChars="0" w:right="0" w:rightChars="0"/>
              <w:jc w:val="left"/>
              <w:rPr>
                <w:rFonts w:hint="default"/>
                <w:kern w:val="0"/>
                <w:szCs w:val="21"/>
                <w:lang w:val="en-US"/>
              </w:rPr>
            </w:pPr>
            <w:r>
              <w:rPr>
                <w:rFonts w:hint="eastAsia"/>
                <w:kern w:val="0"/>
                <w:szCs w:val="21"/>
              </w:rPr>
              <w:t>　</w:t>
            </w:r>
            <w:r>
              <w:rPr>
                <w:rFonts w:hint="eastAsia"/>
                <w:kern w:val="0"/>
                <w:szCs w:val="21"/>
                <w:lang w:val="en-US" w:eastAsia="zh-CN"/>
              </w:rPr>
              <w:t>96</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w:t>
      </w:r>
      <w:r>
        <w:rPr>
          <w:rFonts w:hint="eastAsia" w:eastAsia="方正小标宋简体"/>
          <w:color w:val="000000"/>
          <w:spacing w:val="-12"/>
          <w:kern w:val="0"/>
          <w:sz w:val="44"/>
          <w:szCs w:val="44"/>
          <w:lang w:val="en-US" w:eastAsia="zh-CN"/>
        </w:rPr>
        <w:t>南塔街道</w:t>
      </w:r>
      <w:r>
        <w:rPr>
          <w:rFonts w:hint="eastAsia" w:eastAsia="方正小标宋简体"/>
          <w:color w:val="000000"/>
          <w:spacing w:val="-12"/>
          <w:kern w:val="0"/>
          <w:sz w:val="44"/>
          <w:szCs w:val="44"/>
        </w:rPr>
        <w:t>项目支出绩效目标完成情况表</w:t>
      </w:r>
    </w:p>
    <w:p>
      <w:pPr>
        <w:pStyle w:val="2"/>
        <w:spacing w:after="0" w:line="240" w:lineRule="exact"/>
        <w:rPr>
          <w:rFonts w:ascii="宋体"/>
        </w:rPr>
      </w:pPr>
    </w:p>
    <w:tbl>
      <w:tblPr>
        <w:tblStyle w:val="4"/>
        <w:tblW w:w="928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06"/>
        <w:gridCol w:w="1594"/>
        <w:gridCol w:w="1175"/>
        <w:gridCol w:w="1291"/>
        <w:gridCol w:w="1200"/>
        <w:gridCol w:w="1665"/>
        <w:gridCol w:w="16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578" w:type="dxa"/>
            <w:gridSpan w:val="6"/>
            <w:tcBorders>
              <w:top w:val="single" w:color="auto" w:sz="12" w:space="0"/>
            </w:tcBorders>
            <w:noWrap/>
            <w:vAlign w:val="center"/>
          </w:tcPr>
          <w:p>
            <w:pPr>
              <w:widowControl/>
              <w:spacing w:line="240" w:lineRule="exact"/>
              <w:jc w:val="center"/>
              <w:rPr>
                <w:rFonts w:hint="eastAsia" w:eastAsia="宋体"/>
                <w:color w:val="000000"/>
                <w:kern w:val="0"/>
                <w:szCs w:val="21"/>
                <w:lang w:eastAsia="zh-CN"/>
              </w:rPr>
            </w:pPr>
            <w:r>
              <w:rPr>
                <w:rFonts w:hint="eastAsia" w:eastAsia="方正楷体简体"/>
                <w:b w:val="0"/>
                <w:bCs w:val="0"/>
                <w:sz w:val="24"/>
                <w:szCs w:val="24"/>
                <w:lang w:val="en-US" w:eastAsia="zh-CN"/>
              </w:rPr>
              <w:t>乐至县人民政府南塔街道办事处老旧无物业小区排污基础设施改造</w:t>
            </w:r>
            <w:r>
              <w:rPr>
                <w:rFonts w:hint="eastAsia" w:eastAsia="方正楷体简体"/>
                <w:b w:val="0"/>
                <w:bCs w:val="0"/>
                <w:sz w:val="24"/>
                <w:szCs w:val="24"/>
                <w:lang w:eastAsia="zh-CN"/>
              </w:rPr>
              <w:t>资金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1175" w:type="dxa"/>
            <w:noWrap/>
            <w:vAlign w:val="center"/>
          </w:tcPr>
          <w:p>
            <w:pPr>
              <w:spacing w:line="240" w:lineRule="exact"/>
              <w:jc w:val="center"/>
              <w:rPr>
                <w:szCs w:val="21"/>
              </w:rPr>
            </w:pPr>
            <w:r>
              <w:rPr>
                <w:rFonts w:hint="eastAsia"/>
                <w:color w:val="000000"/>
                <w:kern w:val="0"/>
                <w:szCs w:val="21"/>
              </w:rPr>
              <w:sym w:font="Wingdings 2" w:char="00A3"/>
            </w:r>
          </w:p>
        </w:tc>
        <w:tc>
          <w:tcPr>
            <w:tcW w:w="2491" w:type="dxa"/>
            <w:gridSpan w:val="2"/>
            <w:noWrap/>
            <w:vAlign w:val="center"/>
          </w:tcPr>
          <w:p>
            <w:pPr>
              <w:spacing w:line="240" w:lineRule="exact"/>
              <w:jc w:val="center"/>
              <w:rPr>
                <w:szCs w:val="21"/>
              </w:rPr>
            </w:pPr>
            <w:r>
              <w:rPr>
                <w:rFonts w:hint="eastAsia"/>
                <w:color w:val="000000"/>
                <w:kern w:val="0"/>
                <w:szCs w:val="21"/>
              </w:rPr>
              <w:sym w:font="Wingdings 2" w:char="00A3"/>
            </w:r>
          </w:p>
        </w:tc>
        <w:tc>
          <w:tcPr>
            <w:tcW w:w="3318" w:type="dxa"/>
            <w:gridSpan w:val="2"/>
            <w:noWrap/>
            <w:vAlign w:val="center"/>
          </w:tcPr>
          <w:p>
            <w:pPr>
              <w:spacing w:line="240" w:lineRule="exact"/>
              <w:jc w:val="center"/>
              <w:rPr>
                <w:szCs w:val="21"/>
              </w:rPr>
            </w:pPr>
            <w:r>
              <w:rPr>
                <w:rFonts w:hint="eastAsia"/>
                <w:color w:val="000000"/>
                <w:kern w:val="0"/>
                <w:szCs w:val="21"/>
              </w:rPr>
              <w:sym w:font="Wingdings 2" w:char="0052"/>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5260" w:type="dxa"/>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乐至县人民政府南塔街道办事处</w:t>
            </w:r>
            <w:r>
              <w:rPr>
                <w:rFonts w:hint="eastAsia"/>
                <w:color w:val="000000"/>
                <w:kern w:val="0"/>
                <w:szCs w:val="21"/>
              </w:rPr>
              <w:t>　</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1653"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301001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06" w:type="dxa"/>
            <w:vMerge w:val="restart"/>
            <w:noWrap/>
            <w:vAlign w:val="center"/>
          </w:tcPr>
          <w:p>
            <w:pPr>
              <w:widowControl/>
              <w:spacing w:line="240" w:lineRule="exact"/>
              <w:jc w:val="both"/>
              <w:rPr>
                <w:color w:val="000000"/>
                <w:kern w:val="0"/>
                <w:szCs w:val="21"/>
              </w:rPr>
            </w:pPr>
            <w:r>
              <w:rPr>
                <w:rFonts w:hint="eastAsia"/>
                <w:color w:val="000000"/>
                <w:kern w:val="0"/>
                <w:szCs w:val="21"/>
              </w:rPr>
              <w:t>预算执行情况</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117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5.90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5.90</w:t>
            </w:r>
          </w:p>
        </w:tc>
        <w:tc>
          <w:tcPr>
            <w:tcW w:w="120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5.90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5.90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5.90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5.90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5.90</w:t>
            </w:r>
          </w:p>
        </w:tc>
        <w:tc>
          <w:tcPr>
            <w:tcW w:w="129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5.90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06" w:type="dxa"/>
            <w:vMerge w:val="continue"/>
            <w:noWrap w:val="0"/>
            <w:vAlign w:val="center"/>
          </w:tcPr>
          <w:p>
            <w:pPr>
              <w:widowControl/>
              <w:spacing w:line="240" w:lineRule="exact"/>
              <w:jc w:val="left"/>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17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9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20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6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53"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276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49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331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left"/>
              <w:rPr>
                <w:color w:val="000000"/>
                <w:kern w:val="0"/>
                <w:szCs w:val="21"/>
              </w:rPr>
            </w:pPr>
          </w:p>
        </w:tc>
        <w:tc>
          <w:tcPr>
            <w:tcW w:w="2769"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保障老旧无物业小区排污基础设施改造顺利实施，改善周边环境，提高群众生活环境质量，增强群众满意度和幸福感，为创建全国文明城市打好基础。</w:t>
            </w:r>
          </w:p>
        </w:tc>
        <w:tc>
          <w:tcPr>
            <w:tcW w:w="2491" w:type="dxa"/>
            <w:gridSpan w:val="2"/>
            <w:noWrap/>
            <w:vAlign w:val="center"/>
          </w:tcPr>
          <w:p>
            <w:pPr>
              <w:widowControl/>
              <w:spacing w:line="240" w:lineRule="exact"/>
              <w:jc w:val="both"/>
              <w:rPr>
                <w:color w:val="000000"/>
                <w:kern w:val="0"/>
                <w:szCs w:val="21"/>
              </w:rPr>
            </w:pPr>
            <w:r>
              <w:rPr>
                <w:rFonts w:hint="eastAsia"/>
                <w:color w:val="000000"/>
                <w:kern w:val="0"/>
                <w:szCs w:val="21"/>
                <w:lang w:val="en-US" w:eastAsia="zh-CN"/>
              </w:rPr>
              <w:t>完成老旧无物业小区排污基础设施改造，改善周边环境，提高群众生活环境质量，增强群众满意度和幸福感，提升城市文明形象，达到预期要求。</w:t>
            </w:r>
            <w:r>
              <w:rPr>
                <w:rFonts w:hint="eastAsia"/>
                <w:color w:val="000000"/>
                <w:kern w:val="0"/>
                <w:szCs w:val="21"/>
              </w:rPr>
              <w:t>　</w:t>
            </w:r>
          </w:p>
        </w:tc>
        <w:tc>
          <w:tcPr>
            <w:tcW w:w="3318" w:type="dxa"/>
            <w:gridSpan w:val="2"/>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06"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291"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200"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65"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653"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1175"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整改老旧无物业小区排污问题</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≥13个</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完成13个</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default" w:eastAsia="宋体"/>
                <w:color w:val="000000"/>
                <w:kern w:val="0"/>
                <w:szCs w:val="21"/>
                <w:lang w:val="en-US" w:eastAsia="zh-CN"/>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default"/>
                <w:color w:val="000000"/>
                <w:kern w:val="0"/>
                <w:szCs w:val="21"/>
                <w:lang w:val="en-US"/>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ign w:val="center"/>
          </w:tcPr>
          <w:p>
            <w:pPr>
              <w:widowControl/>
              <w:spacing w:line="240" w:lineRule="exact"/>
              <w:jc w:val="center"/>
              <w:rPr>
                <w:rFonts w:hint="eastAsia"/>
                <w:color w:val="000000"/>
                <w:kern w:val="0"/>
                <w:szCs w:val="21"/>
              </w:rPr>
            </w:pPr>
          </w:p>
        </w:tc>
        <w:tc>
          <w:tcPr>
            <w:tcW w:w="1175" w:type="dxa"/>
            <w:vMerge w:val="continue"/>
            <w:noWrap/>
            <w:vAlign w:val="center"/>
          </w:tcPr>
          <w:p>
            <w:pPr>
              <w:widowControl/>
              <w:spacing w:line="240" w:lineRule="exact"/>
              <w:jc w:val="center"/>
              <w:rPr>
                <w:rFonts w:hint="eastAsia"/>
                <w:color w:val="000000"/>
                <w:kern w:val="0"/>
                <w:szCs w:val="21"/>
              </w:rPr>
            </w:pPr>
          </w:p>
        </w:tc>
        <w:tc>
          <w:tcPr>
            <w:tcW w:w="1291" w:type="dxa"/>
            <w:noWrap/>
            <w:vAlign w:val="center"/>
          </w:tcPr>
          <w:p>
            <w:pPr>
              <w:widowControl/>
              <w:spacing w:line="240" w:lineRule="exact"/>
              <w:jc w:val="center"/>
              <w:rPr>
                <w:rFonts w:hint="eastAsia" w:eastAsia="宋体"/>
                <w:color w:val="000000"/>
                <w:kern w:val="0"/>
                <w:szCs w:val="21"/>
                <w:lang w:val="en-US" w:eastAsia="zh-CN"/>
              </w:rPr>
            </w:pPr>
          </w:p>
        </w:tc>
        <w:tc>
          <w:tcPr>
            <w:tcW w:w="1200" w:type="dxa"/>
            <w:noWrap/>
            <w:vAlign w:val="center"/>
          </w:tcPr>
          <w:p>
            <w:pPr>
              <w:widowControl/>
              <w:spacing w:line="240" w:lineRule="exact"/>
              <w:jc w:val="center"/>
              <w:rPr>
                <w:rFonts w:hint="default"/>
                <w:color w:val="000000"/>
                <w:kern w:val="0"/>
                <w:szCs w:val="21"/>
                <w:lang w:val="en-US" w:eastAsia="zh-CN"/>
              </w:rPr>
            </w:pPr>
          </w:p>
        </w:tc>
        <w:tc>
          <w:tcPr>
            <w:tcW w:w="1665" w:type="dxa"/>
            <w:noWrap/>
            <w:vAlign w:val="center"/>
          </w:tcPr>
          <w:p>
            <w:pPr>
              <w:widowControl/>
              <w:spacing w:line="240" w:lineRule="exact"/>
              <w:jc w:val="center"/>
              <w:rPr>
                <w:rFonts w:hint="default"/>
                <w:color w:val="000000"/>
                <w:kern w:val="0"/>
                <w:szCs w:val="21"/>
                <w:lang w:val="en-US" w:eastAsia="zh-CN"/>
              </w:rPr>
            </w:pPr>
          </w:p>
        </w:tc>
        <w:tc>
          <w:tcPr>
            <w:tcW w:w="1653" w:type="dxa"/>
            <w:noWrap/>
            <w:vAlign w:val="center"/>
          </w:tcPr>
          <w:p>
            <w:pPr>
              <w:widowControl/>
              <w:spacing w:line="240" w:lineRule="exact"/>
              <w:ind w:firstLine="210" w:firstLineChars="100"/>
              <w:jc w:val="center"/>
              <w:rPr>
                <w:rFonts w:hint="eastAsia"/>
                <w:color w:val="000000"/>
                <w:kern w:val="0"/>
                <w:szCs w:val="21"/>
              </w:rPr>
            </w:pPr>
            <w:r>
              <w:rPr>
                <w:rFonts w:hint="eastAsia"/>
                <w:color w:val="000000"/>
                <w:kern w:val="0"/>
                <w:szCs w:val="21"/>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5"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竣工验收质量合格率</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100%</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验收合格率为100%</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完成时效</w:t>
            </w:r>
          </w:p>
        </w:tc>
        <w:tc>
          <w:tcPr>
            <w:tcW w:w="1200"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2</w:t>
            </w:r>
            <w:r>
              <w:rPr>
                <w:rFonts w:hint="eastAsia"/>
                <w:color w:val="000000"/>
                <w:kern w:val="0"/>
                <w:szCs w:val="21"/>
                <w:lang w:val="en-US" w:eastAsia="zh-CN"/>
              </w:rPr>
              <w:t>021年8月底前全部完成整改</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2021年8月中旬全部完成整改</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eastAsia"/>
                <w:color w:val="000000"/>
                <w:kern w:val="0"/>
                <w:szCs w:val="21"/>
                <w:lang w:val="en-US" w:eastAsia="zh-CN"/>
              </w:rPr>
            </w:pPr>
            <w:r>
              <w:rPr>
                <w:rFonts w:hint="eastAsia"/>
                <w:color w:val="000000"/>
                <w:kern w:val="0"/>
                <w:szCs w:val="21"/>
                <w:lang w:val="en-US" w:eastAsia="zh-CN"/>
              </w:rPr>
              <w:t>项目</w:t>
            </w:r>
          </w:p>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资金总投入</w:t>
            </w:r>
          </w:p>
        </w:tc>
        <w:tc>
          <w:tcPr>
            <w:tcW w:w="1200"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≤5.90万元</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已投入5.90万元</w:t>
            </w:r>
          </w:p>
        </w:tc>
        <w:tc>
          <w:tcPr>
            <w:tcW w:w="1653"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30"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vMerge w:val="continue"/>
            <w:noWrap w:val="0"/>
            <w:vAlign w:val="center"/>
          </w:tcPr>
          <w:p>
            <w:pPr>
              <w:widowControl/>
              <w:spacing w:line="240" w:lineRule="exact"/>
              <w:jc w:val="center"/>
              <w:rPr>
                <w:color w:val="000000"/>
                <w:kern w:val="0"/>
                <w:szCs w:val="21"/>
              </w:rPr>
            </w:pPr>
          </w:p>
        </w:tc>
        <w:tc>
          <w:tcPr>
            <w:tcW w:w="117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可持续影响</w:t>
            </w:r>
          </w:p>
          <w:p>
            <w:pPr>
              <w:widowControl/>
              <w:spacing w:line="240" w:lineRule="exact"/>
              <w:jc w:val="center"/>
              <w:rPr>
                <w:color w:val="000000"/>
                <w:kern w:val="0"/>
                <w:szCs w:val="21"/>
              </w:rPr>
            </w:pPr>
            <w:r>
              <w:rPr>
                <w:rFonts w:hint="eastAsia"/>
                <w:color w:val="000000"/>
                <w:kern w:val="0"/>
                <w:szCs w:val="21"/>
              </w:rPr>
              <w:t>指标</w:t>
            </w:r>
          </w:p>
        </w:tc>
        <w:tc>
          <w:tcPr>
            <w:tcW w:w="1291" w:type="dxa"/>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lang w:val="en-US" w:eastAsia="zh-CN"/>
              </w:rPr>
              <w:t xml:space="preserve">项目总合使用年限 </w:t>
            </w:r>
          </w:p>
        </w:tc>
        <w:tc>
          <w:tcPr>
            <w:tcW w:w="1200" w:type="dxa"/>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 xml:space="preserve"> ≥10年</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 xml:space="preserve">预计10年以上 </w:t>
            </w:r>
          </w:p>
        </w:tc>
        <w:tc>
          <w:tcPr>
            <w:tcW w:w="165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 xml:space="preserve">无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06" w:type="dxa"/>
            <w:vMerge w:val="continue"/>
            <w:noWrap w:val="0"/>
            <w:vAlign w:val="center"/>
          </w:tcPr>
          <w:p>
            <w:pPr>
              <w:widowControl/>
              <w:spacing w:line="240" w:lineRule="exact"/>
              <w:jc w:val="center"/>
              <w:rPr>
                <w:color w:val="000000"/>
                <w:kern w:val="0"/>
                <w:szCs w:val="21"/>
              </w:rPr>
            </w:pPr>
          </w:p>
        </w:tc>
        <w:tc>
          <w:tcPr>
            <w:tcW w:w="1594" w:type="dxa"/>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1175" w:type="dxa"/>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291"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 xml:space="preserve"> 受益群众满意度</w:t>
            </w:r>
          </w:p>
        </w:tc>
        <w:tc>
          <w:tcPr>
            <w:tcW w:w="1200"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≥90%</w:t>
            </w:r>
          </w:p>
        </w:tc>
        <w:tc>
          <w:tcPr>
            <w:tcW w:w="1665"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满意度95%</w:t>
            </w:r>
          </w:p>
        </w:tc>
        <w:tc>
          <w:tcPr>
            <w:tcW w:w="1653" w:type="dxa"/>
            <w:noWrap/>
            <w:vAlign w:val="center"/>
          </w:tcPr>
          <w:p>
            <w:pPr>
              <w:widowControl/>
              <w:spacing w:line="240" w:lineRule="exact"/>
              <w:jc w:val="center"/>
              <w:rPr>
                <w:color w:val="000000"/>
                <w:kern w:val="0"/>
                <w:szCs w:val="21"/>
              </w:rPr>
            </w:pPr>
            <w:r>
              <w:rPr>
                <w:rFonts w:hint="eastAsia"/>
                <w:color w:val="000000"/>
                <w:kern w:val="0"/>
                <w:szCs w:val="21"/>
                <w:lang w:val="en-US" w:eastAsia="zh-CN"/>
              </w:rPr>
              <w:t>无</w:t>
            </w:r>
          </w:p>
        </w:tc>
      </w:tr>
    </w:tbl>
    <w:p>
      <w:pPr>
        <w:spacing w:line="620" w:lineRule="exact"/>
        <w:jc w:val="center"/>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Wingdings 2">
    <w:altName w:val="Wingdings"/>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6A1634"/>
    <w:rsid w:val="02535D17"/>
    <w:rsid w:val="072136B4"/>
    <w:rsid w:val="0B0010B3"/>
    <w:rsid w:val="0C3C42C9"/>
    <w:rsid w:val="0C7E54E8"/>
    <w:rsid w:val="0CC066D9"/>
    <w:rsid w:val="0CF354CA"/>
    <w:rsid w:val="0D024DC1"/>
    <w:rsid w:val="0E7705ED"/>
    <w:rsid w:val="123E0DFD"/>
    <w:rsid w:val="13957470"/>
    <w:rsid w:val="151F285D"/>
    <w:rsid w:val="15951F88"/>
    <w:rsid w:val="16207F31"/>
    <w:rsid w:val="166A1634"/>
    <w:rsid w:val="171C41D4"/>
    <w:rsid w:val="1772012D"/>
    <w:rsid w:val="17AD19F5"/>
    <w:rsid w:val="17E208EA"/>
    <w:rsid w:val="18BA2219"/>
    <w:rsid w:val="196A0870"/>
    <w:rsid w:val="1A7A6963"/>
    <w:rsid w:val="1B032AEA"/>
    <w:rsid w:val="1BAF1595"/>
    <w:rsid w:val="1D401DDE"/>
    <w:rsid w:val="202E1CDF"/>
    <w:rsid w:val="20B326D1"/>
    <w:rsid w:val="20BE798D"/>
    <w:rsid w:val="22FD0B2C"/>
    <w:rsid w:val="23761AD2"/>
    <w:rsid w:val="23EE67BF"/>
    <w:rsid w:val="27F61A85"/>
    <w:rsid w:val="283C4728"/>
    <w:rsid w:val="28DF47B4"/>
    <w:rsid w:val="29D47B24"/>
    <w:rsid w:val="2B0513A0"/>
    <w:rsid w:val="2E0B7D89"/>
    <w:rsid w:val="2E1D3465"/>
    <w:rsid w:val="339C589A"/>
    <w:rsid w:val="34B16D22"/>
    <w:rsid w:val="39024C27"/>
    <w:rsid w:val="3A3960EF"/>
    <w:rsid w:val="3A3B4D76"/>
    <w:rsid w:val="3B8C52EB"/>
    <w:rsid w:val="3BC97F6B"/>
    <w:rsid w:val="3EB525D6"/>
    <w:rsid w:val="3F20390D"/>
    <w:rsid w:val="3F497323"/>
    <w:rsid w:val="43700831"/>
    <w:rsid w:val="44F602E9"/>
    <w:rsid w:val="46325030"/>
    <w:rsid w:val="468E3933"/>
    <w:rsid w:val="48E11D5B"/>
    <w:rsid w:val="4916794A"/>
    <w:rsid w:val="4A0B2A4F"/>
    <w:rsid w:val="4B397A37"/>
    <w:rsid w:val="4B9D5B96"/>
    <w:rsid w:val="4DDE04AB"/>
    <w:rsid w:val="4E995994"/>
    <w:rsid w:val="5173216D"/>
    <w:rsid w:val="535830F8"/>
    <w:rsid w:val="541C4C02"/>
    <w:rsid w:val="553F4644"/>
    <w:rsid w:val="56F75F74"/>
    <w:rsid w:val="58905F53"/>
    <w:rsid w:val="596335AA"/>
    <w:rsid w:val="59921EBD"/>
    <w:rsid w:val="59E90E40"/>
    <w:rsid w:val="5A56518C"/>
    <w:rsid w:val="5EAE2803"/>
    <w:rsid w:val="5FA26001"/>
    <w:rsid w:val="5FFD640F"/>
    <w:rsid w:val="63273A76"/>
    <w:rsid w:val="6498300E"/>
    <w:rsid w:val="65471DFE"/>
    <w:rsid w:val="656A06B0"/>
    <w:rsid w:val="65941A88"/>
    <w:rsid w:val="692F5AF2"/>
    <w:rsid w:val="69951D48"/>
    <w:rsid w:val="6AE37567"/>
    <w:rsid w:val="6E033890"/>
    <w:rsid w:val="6FCD026D"/>
    <w:rsid w:val="6FF2616E"/>
    <w:rsid w:val="71A22EB7"/>
    <w:rsid w:val="73885FA3"/>
    <w:rsid w:val="750121A3"/>
    <w:rsid w:val="751E4317"/>
    <w:rsid w:val="77207522"/>
    <w:rsid w:val="7C590591"/>
    <w:rsid w:val="7DC611BF"/>
    <w:rsid w:val="7DD93EB5"/>
    <w:rsid w:val="7E8D6F8E"/>
    <w:rsid w:val="7F172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pPr>
      <w:spacing w:after="120"/>
    </w:pPr>
    <w:rPr>
      <w:rFonts w:ascii="Calibri" w:hAnsi="Calibri" w:cs="宋体"/>
      <w:kern w:val="0"/>
      <w:sz w:val="20"/>
      <w:szCs w:val="21"/>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2022-08-08T01:57:00Z</dcterms:created>
  <dc:creator>cpa</dc:creator>
  <cp:lastModifiedBy>Administrator</cp:lastModifiedBy>
  <dcterms:modified xsi:type="dcterms:W3CDTF">2023-11-08T07:58:09Z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39A52BF9DA6440348AF970972D7A8D9F</vt:lpwstr>
  </property>
</Properties>
</file>